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2A7" w:rsidRPr="0086312B" w:rsidRDefault="004272A7" w:rsidP="004272A7">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302"/>
        <w:gridCol w:w="1247"/>
        <w:gridCol w:w="1484"/>
        <w:gridCol w:w="282"/>
        <w:gridCol w:w="803"/>
        <w:gridCol w:w="2226"/>
      </w:tblGrid>
      <w:tr w:rsidR="004272A7" w:rsidRPr="0086312B" w:rsidTr="002C2BB8">
        <w:tc>
          <w:tcPr>
            <w:tcW w:w="9606" w:type="dxa"/>
            <w:gridSpan w:val="7"/>
            <w:tcBorders>
              <w:bottom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4272A7" w:rsidRPr="00A56481" w:rsidRDefault="004272A7" w:rsidP="002C2BB8">
            <w:pPr>
              <w:rPr>
                <w:rFonts w:ascii="Arial" w:hAnsi="Arial" w:cs="Arial"/>
                <w:b/>
                <w:color w:val="0F243E" w:themeColor="text2" w:themeShade="80"/>
              </w:rPr>
            </w:pPr>
          </w:p>
        </w:tc>
      </w:tr>
      <w:tr w:rsidR="004272A7" w:rsidRPr="0086312B" w:rsidTr="002C2BB8">
        <w:tc>
          <w:tcPr>
            <w:tcW w:w="9606" w:type="dxa"/>
            <w:gridSpan w:val="7"/>
            <w:tcBorders>
              <w:bottom w:val="single" w:sz="4" w:space="0" w:color="auto"/>
            </w:tcBorders>
            <w:shd w:val="clear" w:color="auto" w:fill="365F91" w:themeFill="accent1" w:themeFillShade="BF"/>
          </w:tcPr>
          <w:p w:rsidR="004272A7" w:rsidRDefault="004272A7" w:rsidP="002C2BB8">
            <w:pPr>
              <w:jc w:val="center"/>
              <w:rPr>
                <w:rFonts w:ascii="Arial" w:hAnsi="Arial" w:cs="Arial"/>
                <w:b/>
                <w:color w:val="0F243E" w:themeColor="text2" w:themeShade="80"/>
              </w:rPr>
            </w:pPr>
          </w:p>
          <w:p w:rsidR="004272A7" w:rsidRPr="00C32202" w:rsidRDefault="004272A7" w:rsidP="002C2BB8">
            <w:pPr>
              <w:jc w:val="center"/>
              <w:rPr>
                <w:rFonts w:ascii="Arial" w:hAnsi="Arial" w:cs="Arial"/>
                <w:b/>
                <w:color w:val="FFFFFF" w:themeColor="background1"/>
              </w:rPr>
            </w:pPr>
            <w:r w:rsidRPr="00C32202">
              <w:rPr>
                <w:rFonts w:ascii="Arial" w:hAnsi="Arial" w:cs="Arial"/>
                <w:b/>
                <w:color w:val="FFFFFF" w:themeColor="background1"/>
              </w:rPr>
              <w:t>DATOS GENERALES</w:t>
            </w:r>
          </w:p>
          <w:p w:rsidR="004272A7" w:rsidRPr="00A56481" w:rsidRDefault="004272A7" w:rsidP="002C2BB8">
            <w:pPr>
              <w:rPr>
                <w:rFonts w:ascii="Arial" w:hAnsi="Arial" w:cs="Arial"/>
                <w:b/>
                <w:color w:val="0F243E" w:themeColor="text2" w:themeShade="80"/>
              </w:rPr>
            </w:pPr>
          </w:p>
        </w:tc>
      </w:tr>
      <w:tr w:rsidR="004272A7" w:rsidRPr="0086312B" w:rsidTr="002C2BB8">
        <w:tc>
          <w:tcPr>
            <w:tcW w:w="3105" w:type="dxa"/>
            <w:gridSpan w:val="2"/>
            <w:tcBorders>
              <w:top w:val="single" w:sz="4" w:space="0" w:color="auto"/>
              <w:righ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COMPONENTE:</w:t>
            </w:r>
          </w:p>
          <w:p w:rsidR="004272A7" w:rsidRPr="002D3F0D" w:rsidRDefault="004272A7" w:rsidP="002C2BB8">
            <w:pPr>
              <w:rPr>
                <w:rFonts w:ascii="Arial" w:hAnsi="Arial" w:cs="Arial"/>
                <w:color w:val="0F243E" w:themeColor="text2" w:themeShade="80"/>
              </w:rPr>
            </w:pPr>
            <w:r>
              <w:rPr>
                <w:rFonts w:ascii="Arial" w:hAnsi="Arial" w:cs="Arial"/>
                <w:color w:val="0F243E" w:themeColor="text2" w:themeShade="80"/>
              </w:rPr>
              <w:t>BÁSICO</w:t>
            </w:r>
          </w:p>
          <w:p w:rsidR="004272A7" w:rsidRPr="002D3F0D" w:rsidRDefault="004272A7" w:rsidP="002C2BB8">
            <w:pPr>
              <w:rPr>
                <w:rFonts w:ascii="Arial" w:hAnsi="Arial" w:cs="Arial"/>
                <w:color w:val="0F243E" w:themeColor="text2" w:themeShade="80"/>
              </w:rPr>
            </w:pPr>
          </w:p>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4272A7" w:rsidRDefault="004272A7" w:rsidP="002C2BB8">
            <w:pPr>
              <w:rPr>
                <w:rFonts w:ascii="Arial" w:hAnsi="Arial" w:cs="Arial"/>
                <w:color w:val="0F243E" w:themeColor="text2" w:themeShade="80"/>
              </w:rPr>
            </w:pPr>
            <w:r w:rsidRPr="002D3F0D">
              <w:rPr>
                <w:rFonts w:ascii="Arial" w:hAnsi="Arial" w:cs="Arial"/>
                <w:color w:val="0F243E" w:themeColor="text2" w:themeShade="80"/>
              </w:rPr>
              <w:t>ÁREA/MÓDULO</w:t>
            </w:r>
          </w:p>
          <w:p w:rsidR="004272A7" w:rsidRDefault="004272A7" w:rsidP="002C2BB8">
            <w:pPr>
              <w:rPr>
                <w:rFonts w:ascii="Arial" w:hAnsi="Arial" w:cs="Arial"/>
                <w:color w:val="0F243E" w:themeColor="text2" w:themeShade="80"/>
              </w:rPr>
            </w:pPr>
            <w:r>
              <w:rPr>
                <w:rFonts w:ascii="Arial" w:hAnsi="Arial" w:cs="Arial"/>
                <w:color w:val="0F243E" w:themeColor="text2" w:themeShade="80"/>
              </w:rPr>
              <w:t>INVESTIGACIÓN</w:t>
            </w:r>
          </w:p>
          <w:p w:rsidR="004272A7" w:rsidRPr="002D3F0D" w:rsidRDefault="004272A7" w:rsidP="002C2BB8">
            <w:pPr>
              <w:rPr>
                <w:rFonts w:ascii="Arial" w:hAnsi="Arial" w:cs="Arial"/>
                <w:color w:val="0F243E" w:themeColor="text2" w:themeShade="80"/>
              </w:rPr>
            </w:pPr>
            <w:r>
              <w:rPr>
                <w:rFonts w:ascii="Arial" w:hAnsi="Arial" w:cs="Arial"/>
                <w:color w:val="0F243E" w:themeColor="text2" w:themeShade="80"/>
              </w:rPr>
              <w:t>ASISTIDA III</w:t>
            </w:r>
          </w:p>
        </w:tc>
        <w:tc>
          <w:tcPr>
            <w:tcW w:w="3366" w:type="dxa"/>
            <w:gridSpan w:val="2"/>
            <w:tcBorders>
              <w:top w:val="single" w:sz="4" w:space="0" w:color="auto"/>
              <w:left w:val="single" w:sz="4" w:space="0" w:color="auto"/>
            </w:tcBorders>
          </w:tcPr>
          <w:p w:rsidR="00C631E7" w:rsidRDefault="00C631E7" w:rsidP="002C2BB8">
            <w:pPr>
              <w:rPr>
                <w:rFonts w:ascii="Arial" w:hAnsi="Arial" w:cs="Arial"/>
                <w:color w:val="0F243E" w:themeColor="text2" w:themeShade="80"/>
              </w:rPr>
            </w:pPr>
            <w:r>
              <w:rPr>
                <w:rFonts w:ascii="Arial" w:hAnsi="Arial" w:cs="Arial"/>
                <w:color w:val="0F243E" w:themeColor="text2" w:themeShade="80"/>
              </w:rPr>
              <w:t>semestre</w:t>
            </w:r>
          </w:p>
          <w:p w:rsidR="004272A7" w:rsidRDefault="004272A7" w:rsidP="002C2BB8">
            <w:pPr>
              <w:rPr>
                <w:rFonts w:ascii="Arial" w:hAnsi="Arial" w:cs="Arial"/>
                <w:color w:val="0F243E" w:themeColor="text2" w:themeShade="80"/>
              </w:rPr>
            </w:pPr>
            <w:r>
              <w:rPr>
                <w:rFonts w:ascii="Arial" w:hAnsi="Arial" w:cs="Arial"/>
                <w:color w:val="0F243E" w:themeColor="text2" w:themeShade="80"/>
              </w:rPr>
              <w:t>OCTAVO</w:t>
            </w:r>
          </w:p>
          <w:p w:rsidR="004272A7" w:rsidRPr="00C53FE2" w:rsidRDefault="004272A7" w:rsidP="002C2BB8">
            <w:pPr>
              <w:rPr>
                <w:rFonts w:ascii="Arial" w:hAnsi="Arial" w:cs="Arial"/>
                <w:color w:val="0F243E" w:themeColor="text2" w:themeShade="80"/>
              </w:rPr>
            </w:pPr>
          </w:p>
        </w:tc>
      </w:tr>
      <w:tr w:rsidR="004272A7" w:rsidRPr="0086312B" w:rsidTr="002C2BB8">
        <w:tc>
          <w:tcPr>
            <w:tcW w:w="9606" w:type="dxa"/>
            <w:gridSpan w:val="7"/>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b/>
                <w:color w:val="0F243E" w:themeColor="text2" w:themeShade="80"/>
              </w:rPr>
              <w:t>INVESTIGACIÓN ASISTIDA III</w:t>
            </w:r>
          </w:p>
          <w:p w:rsidR="004272A7" w:rsidRPr="00A56481" w:rsidRDefault="004272A7" w:rsidP="002C2BB8">
            <w:pPr>
              <w:rPr>
                <w:rFonts w:ascii="Arial" w:hAnsi="Arial" w:cs="Arial"/>
                <w:b/>
                <w:color w:val="0F243E" w:themeColor="text2" w:themeShade="80"/>
              </w:rPr>
            </w:pPr>
          </w:p>
        </w:tc>
      </w:tr>
      <w:tr w:rsidR="004272A7" w:rsidRPr="0086312B" w:rsidTr="002C2BB8">
        <w:tc>
          <w:tcPr>
            <w:tcW w:w="5955" w:type="dxa"/>
            <w:gridSpan w:val="4"/>
            <w:tcBorders>
              <w:right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4272A7" w:rsidRPr="0086312B" w:rsidRDefault="004272A7" w:rsidP="002C2BB8">
            <w:pPr>
              <w:rPr>
                <w:rFonts w:ascii="Arial" w:hAnsi="Arial" w:cs="Arial"/>
                <w:b/>
                <w:color w:val="0F243E" w:themeColor="text2" w:themeShade="80"/>
              </w:rPr>
            </w:pPr>
          </w:p>
        </w:tc>
        <w:tc>
          <w:tcPr>
            <w:tcW w:w="3651" w:type="dxa"/>
            <w:gridSpan w:val="3"/>
            <w:tcBorders>
              <w:left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p>
          <w:p w:rsidR="004272A7" w:rsidRPr="0086312B" w:rsidRDefault="004272A7" w:rsidP="002C2BB8">
            <w:pPr>
              <w:rPr>
                <w:rFonts w:ascii="Arial" w:hAnsi="Arial" w:cs="Arial"/>
                <w:b/>
                <w:color w:val="0F243E" w:themeColor="text2" w:themeShade="80"/>
              </w:rPr>
            </w:pPr>
          </w:p>
        </w:tc>
      </w:tr>
      <w:tr w:rsidR="004272A7" w:rsidRPr="0086312B" w:rsidTr="002C2BB8">
        <w:tc>
          <w:tcPr>
            <w:tcW w:w="1650" w:type="dxa"/>
            <w:tcBorders>
              <w:righ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MODALIDAD:</w:t>
            </w:r>
          </w:p>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PRESENCIAL   </w:t>
            </w:r>
            <w:r w:rsidRPr="00D222E1">
              <w:rPr>
                <w:rFonts w:ascii="Arial" w:hAnsi="Arial" w:cs="Arial"/>
                <w:color w:val="0F243E" w:themeColor="text2" w:themeShade="80"/>
                <w:shd w:val="clear" w:color="auto" w:fill="1F497D" w:themeFill="text2"/>
              </w:rPr>
              <w:sym w:font="Wingdings" w:char="F06F"/>
            </w:r>
          </w:p>
        </w:tc>
        <w:tc>
          <w:tcPr>
            <w:tcW w:w="2835" w:type="dxa"/>
            <w:gridSpan w:val="3"/>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4272A7" w:rsidRPr="0086312B" w:rsidRDefault="004272A7" w:rsidP="004272A7">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4272A7" w:rsidRPr="0086312B" w:rsidTr="002C2BB8">
        <w:tc>
          <w:tcPr>
            <w:tcW w:w="5495" w:type="dxa"/>
            <w:gridSpan w:val="2"/>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CÓDIGO ASIGNATURA: 20706</w:t>
            </w:r>
          </w:p>
          <w:p w:rsidR="004272A7" w:rsidRPr="0086312B" w:rsidRDefault="004272A7" w:rsidP="002C2BB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4272A7" w:rsidRPr="0086312B" w:rsidRDefault="004272A7" w:rsidP="002C2BB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Pr>
                <w:rFonts w:ascii="Arial" w:hAnsi="Arial" w:cs="Arial"/>
                <w:b/>
                <w:color w:val="0F243E" w:themeColor="text2" w:themeShade="80"/>
              </w:rPr>
              <w:t>1</w:t>
            </w:r>
          </w:p>
        </w:tc>
      </w:tr>
      <w:tr w:rsidR="004272A7" w:rsidRPr="0086312B" w:rsidTr="002C2BB8">
        <w:tc>
          <w:tcPr>
            <w:tcW w:w="4503" w:type="dxa"/>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Fecha de Elaboración: Treinta y uno (31) de julio de 2015</w:t>
            </w:r>
          </w:p>
          <w:p w:rsidR="004272A7" w:rsidRDefault="004272A7" w:rsidP="002C2BB8">
            <w:pPr>
              <w:rPr>
                <w:rFonts w:ascii="Arial" w:hAnsi="Arial" w:cs="Arial"/>
                <w:b/>
                <w:color w:val="0F243E" w:themeColor="text2" w:themeShade="80"/>
              </w:rPr>
            </w:pPr>
          </w:p>
        </w:tc>
        <w:tc>
          <w:tcPr>
            <w:tcW w:w="5103" w:type="dxa"/>
            <w:gridSpan w:val="2"/>
            <w:tcBorders>
              <w:left w:val="single" w:sz="4" w:space="0" w:color="auto"/>
            </w:tcBorders>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Fecha de Actualización:</w:t>
            </w:r>
          </w:p>
          <w:p w:rsidR="004272A7" w:rsidRDefault="00C631E7" w:rsidP="002C2BB8">
            <w:pPr>
              <w:rPr>
                <w:rFonts w:ascii="Arial" w:hAnsi="Arial" w:cs="Arial"/>
                <w:b/>
                <w:color w:val="0F243E" w:themeColor="text2" w:themeShade="80"/>
              </w:rPr>
            </w:pPr>
            <w:r>
              <w:rPr>
                <w:rFonts w:ascii="Arial" w:hAnsi="Arial" w:cs="Arial"/>
                <w:b/>
                <w:color w:val="0F243E" w:themeColor="text2" w:themeShade="80"/>
              </w:rPr>
              <w:t>2015-2</w:t>
            </w:r>
          </w:p>
        </w:tc>
      </w:tr>
    </w:tbl>
    <w:p w:rsidR="004272A7" w:rsidRPr="0086312B" w:rsidRDefault="004272A7" w:rsidP="004272A7">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4272A7" w:rsidRPr="0086312B" w:rsidTr="002C2BB8">
        <w:tc>
          <w:tcPr>
            <w:tcW w:w="9606" w:type="dxa"/>
            <w:gridSpan w:val="3"/>
            <w:shd w:val="clear" w:color="auto" w:fill="365F91" w:themeFill="accent1" w:themeFillShade="BF"/>
          </w:tcPr>
          <w:p w:rsidR="004272A7" w:rsidRPr="0086312B" w:rsidRDefault="004272A7" w:rsidP="002C2BB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4272A7" w:rsidRPr="002D3F0D" w:rsidTr="002C2BB8">
        <w:tc>
          <w:tcPr>
            <w:tcW w:w="2943"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2</w:t>
            </w:r>
          </w:p>
        </w:tc>
        <w:tc>
          <w:tcPr>
            <w:tcW w:w="2835"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8</w:t>
            </w:r>
          </w:p>
        </w:tc>
        <w:tc>
          <w:tcPr>
            <w:tcW w:w="3828"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Horas Práctica:</w:t>
            </w:r>
            <w:r>
              <w:rPr>
                <w:rFonts w:ascii="Arial" w:hAnsi="Arial" w:cs="Arial"/>
                <w:color w:val="0F243E" w:themeColor="text2" w:themeShade="80"/>
              </w:rPr>
              <w:t xml:space="preserve"> 2</w:t>
            </w:r>
          </w:p>
        </w:tc>
      </w:tr>
      <w:tr w:rsidR="004272A7" w:rsidRPr="002D3F0D" w:rsidTr="002C2BB8">
        <w:tc>
          <w:tcPr>
            <w:tcW w:w="2943"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2</w:t>
            </w:r>
          </w:p>
        </w:tc>
        <w:tc>
          <w:tcPr>
            <w:tcW w:w="2835"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2</w:t>
            </w:r>
          </w:p>
        </w:tc>
        <w:tc>
          <w:tcPr>
            <w:tcW w:w="3828"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32</w:t>
            </w:r>
          </w:p>
        </w:tc>
      </w:tr>
    </w:tbl>
    <w:p w:rsidR="004272A7" w:rsidRPr="002D3F0D"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4272A7" w:rsidTr="002C2BB8">
        <w:tc>
          <w:tcPr>
            <w:tcW w:w="9606" w:type="dxa"/>
            <w:gridSpan w:val="4"/>
            <w:shd w:val="clear" w:color="auto" w:fill="365F91" w:themeFill="accent1" w:themeFillShade="BF"/>
          </w:tcPr>
          <w:p w:rsidR="004272A7" w:rsidRPr="002D3F0D" w:rsidRDefault="004272A7" w:rsidP="002C2BB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4272A7" w:rsidTr="002C2BB8">
        <w:tc>
          <w:tcPr>
            <w:tcW w:w="3060" w:type="dxa"/>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Semana: 2</w:t>
            </w:r>
          </w:p>
        </w:tc>
        <w:tc>
          <w:tcPr>
            <w:tcW w:w="3285" w:type="dxa"/>
            <w:gridSpan w:val="2"/>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Mes: 16</w:t>
            </w:r>
          </w:p>
        </w:tc>
        <w:tc>
          <w:tcPr>
            <w:tcW w:w="3261" w:type="dxa"/>
            <w:tcBorders>
              <w:lef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Semestre: 32</w:t>
            </w:r>
          </w:p>
        </w:tc>
      </w:tr>
      <w:tr w:rsidR="004272A7" w:rsidTr="002C2BB8">
        <w:tc>
          <w:tcPr>
            <w:tcW w:w="5920" w:type="dxa"/>
            <w:gridSpan w:val="2"/>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Total de Tiempo de Trabajo Académico 48</w:t>
            </w:r>
          </w:p>
        </w:tc>
        <w:tc>
          <w:tcPr>
            <w:tcW w:w="3686" w:type="dxa"/>
            <w:gridSpan w:val="2"/>
            <w:tcBorders>
              <w:lef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N° de Semanas 16</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4272A7" w:rsidTr="002C2BB8">
        <w:tc>
          <w:tcPr>
            <w:tcW w:w="1384" w:type="dxa"/>
            <w:tcBorders>
              <w:righ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 xml:space="preserve">Diurna      </w:t>
            </w:r>
            <w:r w:rsidRPr="00D222E1">
              <w:rPr>
                <w:rFonts w:ascii="Arial" w:hAnsi="Arial" w:cs="Arial"/>
                <w:color w:val="0F243E" w:themeColor="text2" w:themeShade="80"/>
                <w:shd w:val="clear" w:color="auto" w:fill="1F497D" w:themeFill="text2"/>
              </w:rPr>
              <w:t xml:space="preserve"> </w:t>
            </w:r>
            <w:r w:rsidRPr="00D222E1">
              <w:rPr>
                <w:rFonts w:ascii="Arial" w:hAnsi="Arial" w:cs="Arial"/>
                <w:color w:val="0F243E" w:themeColor="text2" w:themeShade="80"/>
                <w:shd w:val="clear" w:color="auto" w:fill="1F497D" w:themeFill="text2"/>
              </w:rPr>
              <w:sym w:font="Wingdings" w:char="F06F"/>
            </w:r>
          </w:p>
        </w:tc>
        <w:tc>
          <w:tcPr>
            <w:tcW w:w="4521" w:type="dxa"/>
            <w:tcBorders>
              <w:lef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054" w:type="dxa"/>
            <w:shd w:val="clear" w:color="auto" w:fill="365F91" w:themeFill="accent1" w:themeFillShade="BF"/>
          </w:tcPr>
          <w:p w:rsidR="004272A7" w:rsidRPr="008618E3" w:rsidRDefault="004272A7" w:rsidP="002C2BB8">
            <w:pPr>
              <w:rPr>
                <w:rFonts w:ascii="Arial" w:hAnsi="Arial" w:cs="Arial"/>
                <w:b/>
                <w:color w:val="0F243E" w:themeColor="text2" w:themeShade="80"/>
              </w:rPr>
            </w:pPr>
            <w:bookmarkStart w:id="0" w:name="_GoBack"/>
            <w:bookmarkEnd w:id="0"/>
            <w:r w:rsidRPr="00C02EC4">
              <w:rPr>
                <w:rFonts w:ascii="Arial" w:hAnsi="Arial" w:cs="Arial"/>
                <w:b/>
                <w:color w:val="FFFFFF" w:themeColor="background1"/>
              </w:rPr>
              <w:t>JUSTIFICACIÓN:</w:t>
            </w:r>
          </w:p>
        </w:tc>
      </w:tr>
      <w:tr w:rsidR="004272A7" w:rsidTr="002C2BB8">
        <w:tc>
          <w:tcPr>
            <w:tcW w:w="9054"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El desarrollo del currículo en la Facultad de Derecho a la luz del sistema modular implica pensar en cada una de las asignaturas como elementos de una caja de herramientas que se proveen al estudiante para resolver problemas de su </w:t>
            </w:r>
            <w:r>
              <w:rPr>
                <w:rFonts w:ascii="Arial" w:hAnsi="Arial" w:cs="Arial"/>
                <w:color w:val="0F243E" w:themeColor="text2" w:themeShade="80"/>
              </w:rPr>
              <w:lastRenderedPageBreak/>
              <w:t>contexto. La sola presentación de contenidos jurídicos deja inconclusa la tarea de preparar abogados capaces de comprender y edificar la realidad, es por eso que resulta necesario ofrecer una oportunidad para que dichos ejes temáticos sean empleados en la definición de problemáticas y posibles soluciones. La asignatura de investigación asistida resulta ser una práctica pedagógica que permite entrenar la percepción de los estudiantes para detectar situaciones que demandan respuestas desde el ordenamiento jurídico y la conducta de los ciudadanos. En este caso concreto, es importante que los estudiantes cuenten con las herramientas para leer sistemáticamente textos científicos y redactarlos con claridad y rigor. Sólo de esta manera se pueden adelantar las tareas propias del proceso de investigación.</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4272A7" w:rsidTr="002C2BB8">
        <w:tc>
          <w:tcPr>
            <w:tcW w:w="9740" w:type="dxa"/>
          </w:tcPr>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Ofrecer a los estudiantes una oportunidad para el aprendizaje de técnicas de lectura sistemática de textos y de redacción científica.</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1. El estudiante identifica un tema de investigación de su interés y sobre la base de un marco teórico semanalmente construido define unos objetivos de investigación (general y específicos) y justifica la tarea de alcanzarlos.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2. El estudiante 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3. El estudiante desarrolla habilidades para leer sistemáticamente textos científicos empleando su contenido en la construcción de escritos académicos.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4. El estudiante desarrolla habilidades para redactar textos académicos teniendo en cuenta criterios de corrección gramatical, sintáctica y estilística.</w:t>
            </w: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5. El estudiante desarrolla habilidades para citar fuentes bibliográficas de acuerdo con estándares internacionales de citación.</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6. El estudiante asume la elaboración de trabajos escritos conociendo y respetando los derechos de autor en el manejo de fuentes bibliográficas.</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lastRenderedPageBreak/>
              <w:t>PROBLEMAS A RESOLVER:</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pStyle w:val="Prrafodelista"/>
              <w:spacing w:after="0" w:line="240" w:lineRule="auto"/>
              <w:jc w:val="both"/>
              <w:rPr>
                <w:rFonts w:ascii="Arial" w:hAnsi="Arial" w:cs="Arial"/>
                <w:color w:val="0F243E" w:themeColor="text2" w:themeShade="80"/>
              </w:rPr>
            </w:pPr>
          </w:p>
          <w:p w:rsidR="00A403D3" w:rsidRDefault="00A403D3"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redactar un texto claro y coherente?</w:t>
            </w:r>
          </w:p>
          <w:p w:rsidR="00A403D3" w:rsidRDefault="00A403D3" w:rsidP="00A403D3">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4272A7" w:rsidRPr="002346FD"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se redacta un texto científico?</w:t>
            </w:r>
          </w:p>
          <w:p w:rsidR="004272A7" w:rsidRPr="001B376C"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se deben citar las fuentes bibliográficas en un trabajo escrito?</w:t>
            </w:r>
          </w:p>
          <w:p w:rsidR="004272A7" w:rsidRPr="002346FD"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¿Cuándo se entiende que se comete plagio?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4272A7" w:rsidTr="002C2BB8">
        <w:tc>
          <w:tcPr>
            <w:tcW w:w="9740" w:type="dxa"/>
          </w:tcPr>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Asume la elaboración de trabajos escritos conociendo y respetando los derechos de autor en el manejo de fuentes bibliográficas.</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Dado que la asignatura permite explorar los diferentes métodos de investigación social, resulta ser un espacio de integración del Derecho con otras disciplinas que también ofrecen representaciones de la sociedad, tales como la sociología y la </w:t>
            </w:r>
            <w:r>
              <w:rPr>
                <w:rFonts w:ascii="Arial" w:hAnsi="Arial" w:cs="Arial"/>
                <w:color w:val="0F243E" w:themeColor="text2" w:themeShade="80"/>
              </w:rPr>
              <w:lastRenderedPageBreak/>
              <w:t>filosofía. En el primer caso, la investigación permite entender los diferentes métodos que han empleado los sociólogos para descifrar las relaciones sociales y decantar para el derecho aquellos que se consideren más apropiados a la hora de estudiar la interacción entre los hechos y las normas. En el segundo, el ejercicio de aprendizaje se puede nutrir a partir de la lectura de los principales fundamentos epistemológicos de la ciencia ofrecidos por la filosofía.</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65F91" w:themeFill="accent1" w:themeFillShade="BF"/>
            <w:hideMark/>
          </w:tcPr>
          <w:p w:rsidR="004272A7" w:rsidRDefault="004272A7" w:rsidP="002C2BB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72A7" w:rsidRPr="002A24A8" w:rsidRDefault="004272A7" w:rsidP="002C2BB8">
            <w:pPr>
              <w:rPr>
                <w:rFonts w:ascii="Arial" w:hAnsi="Arial" w:cs="Arial"/>
                <w:b/>
                <w:color w:val="0F243E" w:themeColor="text2" w:themeShade="80"/>
              </w:rPr>
            </w:pPr>
            <w:r w:rsidRPr="002A24A8">
              <w:rPr>
                <w:rFonts w:ascii="Arial" w:hAnsi="Arial" w:cs="Arial"/>
                <w:b/>
                <w:color w:val="0F243E" w:themeColor="text2" w:themeShade="80"/>
              </w:rPr>
              <w:t xml:space="preserve">Investigación: </w:t>
            </w:r>
          </w:p>
          <w:p w:rsidR="004272A7" w:rsidRDefault="004272A7" w:rsidP="002C2BB8">
            <w:pPr>
              <w:spacing w:line="360" w:lineRule="auto"/>
              <w:rPr>
                <w:rFonts w:ascii="Arial" w:hAnsi="Arial" w:cs="Arial"/>
                <w:color w:val="C00000"/>
                <w:sz w:val="20"/>
              </w:rPr>
            </w:pPr>
          </w:p>
          <w:p w:rsidR="004272A7" w:rsidRPr="007D7BB0" w:rsidRDefault="004272A7" w:rsidP="002C2BB8">
            <w:pPr>
              <w:spacing w:line="360" w:lineRule="auto"/>
              <w:jc w:val="both"/>
              <w:rPr>
                <w:rFonts w:ascii="Arial" w:hAnsi="Arial" w:cs="Arial"/>
                <w:color w:val="0F243E" w:themeColor="text2" w:themeShade="80"/>
              </w:rPr>
            </w:pPr>
            <w:r w:rsidRPr="007D7BB0">
              <w:rPr>
                <w:rFonts w:ascii="Arial" w:hAnsi="Arial" w:cs="Arial"/>
                <w:color w:val="0F243E" w:themeColor="text2" w:themeShade="80"/>
              </w:rPr>
              <w:t xml:space="preserve">La asignatura </w:t>
            </w:r>
            <w:r>
              <w:rPr>
                <w:rFonts w:ascii="Arial" w:hAnsi="Arial" w:cs="Arial"/>
                <w:color w:val="0F243E" w:themeColor="text2" w:themeShade="80"/>
              </w:rPr>
              <w:t>brinda herramientas cruciales para que los estudiantes asuman la investigación como una parte fundamental de su misión estudiantil. Se  puede convertir así en una caja de herramientas que los oriente en la elaboración y desarrollo de proyectos institucionales con impacto en la comunidad universitaria y local. Los insumos suministrados permiten entablar un diálogo directo con los esquemas y procesos adelantados al interior de los Semilleros de la Facultad y del Centro de Investigaciones Jurídicas y Socio-jurídicas.</w:t>
            </w:r>
          </w:p>
          <w:p w:rsidR="004272A7" w:rsidRDefault="004272A7" w:rsidP="002C2BB8">
            <w:pPr>
              <w:rPr>
                <w:rFonts w:ascii="Arial" w:hAnsi="Arial" w:cs="Arial"/>
                <w:color w:val="C00000"/>
              </w:rPr>
            </w:pPr>
          </w:p>
        </w:tc>
      </w:tr>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72A7" w:rsidRPr="00DC10FB" w:rsidRDefault="004272A7" w:rsidP="002C2BB8">
            <w:pPr>
              <w:jc w:val="both"/>
              <w:rPr>
                <w:rFonts w:ascii="Arial" w:hAnsi="Arial" w:cs="Arial"/>
                <w:b/>
                <w:color w:val="0F243E" w:themeColor="text2" w:themeShade="80"/>
              </w:rPr>
            </w:pPr>
            <w:r w:rsidRPr="00DC10FB">
              <w:rPr>
                <w:rFonts w:ascii="Arial" w:hAnsi="Arial" w:cs="Arial"/>
                <w:b/>
                <w:color w:val="0F243E" w:themeColor="text2" w:themeShade="80"/>
              </w:rPr>
              <w:t xml:space="preserve">Proyección Social: </w:t>
            </w:r>
          </w:p>
          <w:p w:rsidR="004272A7" w:rsidRPr="00DC10FB" w:rsidRDefault="004272A7" w:rsidP="002C2BB8">
            <w:pPr>
              <w:jc w:val="both"/>
              <w:rPr>
                <w:rFonts w:ascii="Arial" w:hAnsi="Arial" w:cs="Arial"/>
                <w:color w:val="C00000"/>
              </w:rPr>
            </w:pPr>
          </w:p>
          <w:p w:rsidR="004272A7" w:rsidRDefault="004272A7" w:rsidP="002C2BB8">
            <w:pPr>
              <w:spacing w:line="360" w:lineRule="auto"/>
              <w:jc w:val="both"/>
              <w:rPr>
                <w:rFonts w:ascii="Arial" w:hAnsi="Arial" w:cs="Arial"/>
                <w:color w:val="C00000"/>
              </w:rPr>
            </w:pPr>
            <w:r>
              <w:rPr>
                <w:rFonts w:ascii="Arial" w:hAnsi="Arial" w:cs="Arial"/>
                <w:color w:val="0F243E" w:themeColor="text2" w:themeShade="80"/>
              </w:rPr>
              <w:t>El trabajo de los estudiantes puede desembocar en el desarrollo de propuestas de educación popular en los que las comunidades participen de sus avances en el aprendizaje.</w:t>
            </w:r>
          </w:p>
        </w:tc>
      </w:tr>
    </w:tbl>
    <w:p w:rsidR="004272A7" w:rsidRDefault="004272A7" w:rsidP="004272A7">
      <w:pPr>
        <w:rPr>
          <w:rFonts w:ascii="Arial" w:hAnsi="Arial" w:cs="Arial"/>
          <w:color w:val="0F243E" w:themeColor="text2" w:themeShade="80"/>
        </w:rPr>
      </w:pPr>
    </w:p>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CONTENIDOS PROGRAMÁTICOS:</w:t>
            </w:r>
          </w:p>
        </w:tc>
      </w:tr>
      <w:tr w:rsidR="004272A7" w:rsidTr="002C2BB8">
        <w:trPr>
          <w:trHeight w:val="417"/>
        </w:trPr>
        <w:tc>
          <w:tcPr>
            <w:tcW w:w="9740" w:type="dxa"/>
          </w:tcPr>
          <w:p w:rsidR="004272A7" w:rsidRDefault="004272A7" w:rsidP="002C2BB8">
            <w:pPr>
              <w:rPr>
                <w:rFonts w:ascii="Arial" w:hAnsi="Arial" w:cs="Arial"/>
                <w:color w:val="0F243E" w:themeColor="text2" w:themeShade="80"/>
              </w:rPr>
            </w:pPr>
          </w:p>
          <w:p w:rsidR="004272A7" w:rsidRDefault="004272A7" w:rsidP="002C2BB8">
            <w:pPr>
              <w:rPr>
                <w:rFonts w:ascii="Arial" w:hAnsi="Arial" w:cs="Arial"/>
                <w:color w:val="0F243E" w:themeColor="text2" w:themeShade="80"/>
              </w:rPr>
            </w:pPr>
            <w:r>
              <w:rPr>
                <w:rFonts w:ascii="Arial" w:hAnsi="Arial" w:cs="Arial"/>
                <w:color w:val="0F243E" w:themeColor="text2" w:themeShade="80"/>
              </w:rPr>
              <w:t>UNIDAD I: TÉCNICAS DE REDACCIÓN CIENTÍFICA</w:t>
            </w:r>
          </w:p>
          <w:p w:rsidR="004272A7" w:rsidRDefault="004272A7" w:rsidP="002C2BB8">
            <w:pPr>
              <w:rPr>
                <w:rFonts w:ascii="Arial" w:hAnsi="Arial" w:cs="Arial"/>
                <w:color w:val="0F243E" w:themeColor="text2" w:themeShade="80"/>
              </w:rPr>
            </w:pP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Construcción de oraciones.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Construcción de párrafos.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Construcción de ensayos.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gramatical.</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sintáctica.</w:t>
            </w:r>
          </w:p>
          <w:p w:rsidR="004272A7" w:rsidRPr="00C557CA"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de estilo.</w:t>
            </w:r>
          </w:p>
          <w:p w:rsidR="004272A7" w:rsidRPr="002B64B7" w:rsidRDefault="004272A7" w:rsidP="002C2BB8">
            <w:pPr>
              <w:rPr>
                <w:rFonts w:ascii="Arial" w:hAnsi="Arial" w:cs="Arial"/>
                <w:color w:val="0F243E" w:themeColor="text2" w:themeShade="80"/>
                <w:lang w:val="es-CO"/>
              </w:rPr>
            </w:pPr>
          </w:p>
          <w:p w:rsidR="004272A7" w:rsidRDefault="004272A7" w:rsidP="002C2BB8">
            <w:pPr>
              <w:rPr>
                <w:rFonts w:ascii="Arial" w:hAnsi="Arial" w:cs="Arial"/>
                <w:color w:val="0F243E" w:themeColor="text2" w:themeShade="80"/>
              </w:rPr>
            </w:pPr>
            <w:r>
              <w:rPr>
                <w:rFonts w:ascii="Arial" w:hAnsi="Arial" w:cs="Arial"/>
                <w:color w:val="0F243E" w:themeColor="text2" w:themeShade="80"/>
              </w:rPr>
              <w:t>UNIDAD II: ELABORACIÓN DE DOCUMENTOS CIENTÍFICOS</w:t>
            </w:r>
          </w:p>
          <w:p w:rsidR="004272A7" w:rsidRDefault="004272A7" w:rsidP="002C2BB8">
            <w:pPr>
              <w:rPr>
                <w:rFonts w:ascii="Arial" w:hAnsi="Arial" w:cs="Arial"/>
                <w:color w:val="0F243E" w:themeColor="text2" w:themeShade="80"/>
              </w:rPr>
            </w:pPr>
          </w:p>
          <w:p w:rsidR="004272A7" w:rsidRDefault="004272A7" w:rsidP="002C2BB8">
            <w:pPr>
              <w:rPr>
                <w:rFonts w:ascii="Arial" w:hAnsi="Arial" w:cs="Arial"/>
                <w:color w:val="0F243E" w:themeColor="text2" w:themeShade="80"/>
              </w:rPr>
            </w:pP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corto</w:t>
            </w: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de revisión bibliográfica</w:t>
            </w: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de reflexión</w:t>
            </w:r>
          </w:p>
          <w:p w:rsidR="004272A7" w:rsidRPr="004272A7" w:rsidRDefault="004272A7" w:rsidP="004272A7">
            <w:pPr>
              <w:pStyle w:val="Prrafodelista"/>
              <w:numPr>
                <w:ilvl w:val="0"/>
                <w:numId w:val="4"/>
              </w:numPr>
              <w:spacing w:after="0" w:line="240" w:lineRule="auto"/>
              <w:rPr>
                <w:rFonts w:ascii="Arial" w:hAnsi="Arial" w:cs="Arial"/>
                <w:color w:val="0F243E" w:themeColor="text2" w:themeShade="80"/>
              </w:rPr>
            </w:pPr>
            <w:r w:rsidRPr="004272A7">
              <w:rPr>
                <w:rFonts w:ascii="Arial" w:hAnsi="Arial" w:cs="Arial"/>
                <w:color w:val="0F243E" w:themeColor="text2" w:themeShade="80"/>
              </w:rPr>
              <w:t>Características de un artículo de investigación</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480B7D" w:rsidRDefault="004272A7" w:rsidP="002C2BB8">
            <w:pPr>
              <w:rPr>
                <w:rFonts w:ascii="Arial" w:hAnsi="Arial" w:cs="Arial"/>
                <w:b/>
                <w:color w:val="0F243E" w:themeColor="text2" w:themeShade="80"/>
              </w:rPr>
            </w:pPr>
            <w:r w:rsidRPr="00480B7D">
              <w:rPr>
                <w:rFonts w:ascii="Arial" w:hAnsi="Arial" w:cs="Arial"/>
                <w:b/>
                <w:color w:val="FFFFFF" w:themeColor="background1"/>
              </w:rPr>
              <w:t>TEORÍAS Y CONCEPTOS:</w:t>
            </w:r>
          </w:p>
        </w:tc>
      </w:tr>
      <w:tr w:rsidR="004272A7" w:rsidTr="002C2BB8">
        <w:tc>
          <w:tcPr>
            <w:tcW w:w="9740" w:type="dxa"/>
          </w:tcPr>
          <w:p w:rsidR="004272A7" w:rsidRPr="00480B7D" w:rsidRDefault="004272A7" w:rsidP="002C2BB8">
            <w:pPr>
              <w:rPr>
                <w:rFonts w:ascii="Arial" w:hAnsi="Arial" w:cs="Arial"/>
                <w:color w:val="0F243E" w:themeColor="text2" w:themeShade="80"/>
              </w:rPr>
            </w:pPr>
          </w:p>
          <w:p w:rsidR="004272A7" w:rsidRPr="00480B7D" w:rsidRDefault="004272A7" w:rsidP="002C2BB8">
            <w:pPr>
              <w:spacing w:line="360" w:lineRule="auto"/>
              <w:jc w:val="both"/>
              <w:rPr>
                <w:rFonts w:ascii="Arial" w:hAnsi="Arial" w:cs="Arial"/>
                <w:color w:val="0F243E" w:themeColor="text2" w:themeShade="80"/>
              </w:rPr>
            </w:pPr>
            <w:r w:rsidRPr="00480B7D">
              <w:rPr>
                <w:rFonts w:ascii="Arial" w:hAnsi="Arial" w:cs="Arial"/>
                <w:color w:val="0F243E" w:themeColor="text2" w:themeShade="80"/>
              </w:rPr>
              <w:t>La investigación social es un proceso que permite construir representaciones parciales de la realidad social en las que se integran imágenes concretas tomadas de la experiencia e ideas construidas a partir de especulaciones teóricas (</w:t>
            </w:r>
            <w:proofErr w:type="spellStart"/>
            <w:r w:rsidRPr="00480B7D">
              <w:rPr>
                <w:rFonts w:ascii="Arial" w:hAnsi="Arial" w:cs="Arial"/>
                <w:color w:val="0F243E" w:themeColor="text2" w:themeShade="80"/>
              </w:rPr>
              <w:t>Ragin</w:t>
            </w:r>
            <w:proofErr w:type="spellEnd"/>
            <w:r w:rsidRPr="00480B7D">
              <w:rPr>
                <w:rFonts w:ascii="Arial" w:hAnsi="Arial" w:cs="Arial"/>
                <w:color w:val="0F243E" w:themeColor="text2" w:themeShade="80"/>
              </w:rPr>
              <w:t>, 2007). Aunque la recolección y análisis sistemático de datos son dos etapas características en dicho proceso, existe una gran variedad de métodos para acometer dichas tareas, que convierten a la investigación en un campo rico y fértil para construir perspectivas distintas de una misma realidad (</w:t>
            </w:r>
            <w:proofErr w:type="spellStart"/>
            <w:r w:rsidRPr="00480B7D">
              <w:rPr>
                <w:rFonts w:ascii="Arial" w:hAnsi="Arial" w:cs="Arial"/>
                <w:color w:val="0F243E" w:themeColor="text2" w:themeShade="80"/>
              </w:rPr>
              <w:t>Vasilachis</w:t>
            </w:r>
            <w:proofErr w:type="spellEnd"/>
            <w:r w:rsidRPr="00480B7D">
              <w:rPr>
                <w:rFonts w:ascii="Arial" w:hAnsi="Arial" w:cs="Arial"/>
                <w:color w:val="0F243E" w:themeColor="text2" w:themeShade="80"/>
              </w:rPr>
              <w:t>, 2006).</w:t>
            </w:r>
          </w:p>
          <w:p w:rsidR="004272A7" w:rsidRPr="00480B7D"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480B7D">
              <w:rPr>
                <w:rFonts w:ascii="Arial" w:hAnsi="Arial" w:cs="Arial"/>
                <w:color w:val="0F243E" w:themeColor="text2" w:themeShade="80"/>
              </w:rPr>
              <w:t>Existen dos grandes tradiciones dentro de la investigación social, que integran finalidades, diseños y métodos diferentes: cualitativa y cuantitativa. La primera de ellas se enfoca principalmente hacia la configuración de imágenes de la realidad con gran riqueza de detalles y profundidad de explicaciones, mientras que la segunda aporta imágenes más generales, en las que se pueden evidenciar la relación causal entre variables. Es posible integrar las anteriores tradiciones dentro de una mixta en la que la pretensión del investigador es recoger la singularidad de los fenómenos estudiados (</w:t>
            </w:r>
            <w:proofErr w:type="spellStart"/>
            <w:r w:rsidRPr="00480B7D">
              <w:rPr>
                <w:rFonts w:ascii="Arial" w:hAnsi="Arial" w:cs="Arial"/>
                <w:color w:val="0F243E" w:themeColor="text2" w:themeShade="80"/>
              </w:rPr>
              <w:t>Ragin</w:t>
            </w:r>
            <w:proofErr w:type="spellEnd"/>
            <w:r w:rsidRPr="00480B7D">
              <w:rPr>
                <w:rFonts w:ascii="Arial" w:hAnsi="Arial" w:cs="Arial"/>
                <w:color w:val="0F243E" w:themeColor="text2" w:themeShade="80"/>
              </w:rPr>
              <w:t>, 2007).</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 xml:space="preserve">Las técnicas de lectura sistemática de un texto son un una herramienta fundamental a la hora de recolectar y analizar datos provenientes de fuentes bibliográficas. Los textos no deben ser solamente descifrados sino además comprendidos, ello implica que su lector identifique la estructura básica de su contenido: objetivos del autor, tesis centrales y subordinadas. Sobre esta base, resulta asimismo importante que quien busque información en un texto  pueda </w:t>
            </w:r>
            <w:r>
              <w:rPr>
                <w:rFonts w:ascii="Arial" w:hAnsi="Arial" w:cs="Arial"/>
                <w:color w:val="0F243E" w:themeColor="text2" w:themeShade="80"/>
              </w:rPr>
              <w:lastRenderedPageBreak/>
              <w:t>formular sus propias preguntas e hipótesis y generar un diálogo con las ideas de otros autores.</w:t>
            </w:r>
          </w:p>
          <w:p w:rsidR="004272A7" w:rsidRDefault="004272A7" w:rsidP="002C2BB8">
            <w:pPr>
              <w:spacing w:line="360" w:lineRule="auto"/>
              <w:jc w:val="both"/>
              <w:rPr>
                <w:rFonts w:ascii="Arial" w:hAnsi="Arial" w:cs="Arial"/>
                <w:color w:val="0F243E" w:themeColor="text2" w:themeShade="80"/>
              </w:rPr>
            </w:pPr>
          </w:p>
          <w:p w:rsidR="004272A7" w:rsidRPr="00480B7D"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Para que el proceso de investigación culmine en la presentación clara de sus resultados es necesario cultivar habilidades de redacción que evidencien un manejo correcto del idioma (corrección gramatical), de sus estructuras sintácticas (corrección sintáctica) y de estándares estéticos (corrección de estilo). La redacción de textos académicos constituye la etapa final de un proceso de formación que comienza por la comprensión de estructuras básicas de sentido como la oración y el párrafo.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rPr>
          <w:trHeight w:val="189"/>
        </w:trPr>
        <w:tc>
          <w:tcPr>
            <w:tcW w:w="9740" w:type="dxa"/>
            <w:shd w:val="clear" w:color="auto" w:fill="365F91" w:themeFill="accent1" w:themeFillShade="BF"/>
          </w:tcPr>
          <w:p w:rsidR="004272A7" w:rsidRPr="006C4ADD" w:rsidRDefault="004272A7" w:rsidP="002C2BB8">
            <w:pPr>
              <w:rPr>
                <w:rFonts w:ascii="Arial" w:hAnsi="Arial" w:cs="Arial"/>
                <w:b/>
                <w:color w:val="0F243E" w:themeColor="text2" w:themeShade="80"/>
                <w:highlight w:val="yellow"/>
              </w:rPr>
            </w:pPr>
            <w:r w:rsidRPr="000A3206">
              <w:rPr>
                <w:rFonts w:ascii="Arial" w:hAnsi="Arial" w:cs="Arial"/>
                <w:b/>
                <w:color w:val="FFFFFF" w:themeColor="background1"/>
              </w:rPr>
              <w:t>METODOLOGÍA:</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La asignatura se plantea alrededor del trabajo autónomo del estudiante orientado por el docente. En ese sentido, las clases son un escenario de encuentro para que la comunidad de aprendizaje reflexione en torno a las temáticas del curso y proceda a aplicar los resultados de dicho ejercicio en la elaboración de un documento de investigación.</w:t>
            </w: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En un primer momento, los estudiantes serán interrogados y enfrentados a ejemplos de documentos académicos que los llevarán a reflexionar sobre la necesidad de conocer y experimentar las principales etapas del proceso de lectura y redacción científicas. En el segundo, el docente brindará algunas explicaciones con el ánimo de orientar el criterio de los discentes, para finalmente asumir la tarea de aplicarlas en el diseño de un texto propio de investigación.</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4A3921" w:rsidRDefault="004272A7" w:rsidP="002C2BB8">
            <w:pPr>
              <w:rPr>
                <w:rFonts w:ascii="Arial" w:hAnsi="Arial" w:cs="Arial"/>
                <w:b/>
                <w:color w:val="FFFFFF" w:themeColor="background1"/>
              </w:rPr>
            </w:pPr>
            <w:r w:rsidRPr="004A3921">
              <w:rPr>
                <w:rFonts w:ascii="Arial" w:hAnsi="Arial" w:cs="Arial"/>
                <w:b/>
                <w:color w:val="FFFFFF" w:themeColor="background1"/>
              </w:rPr>
              <w:t>EVALUACIÓN:</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BF4A9F">
              <w:rPr>
                <w:rFonts w:ascii="Arial" w:hAnsi="Arial" w:cs="Arial"/>
                <w:color w:val="0F243E" w:themeColor="text2" w:themeShade="80"/>
              </w:rPr>
              <w:t xml:space="preserve">En el desarrollo de la asignatura el estudiante tendrá tres momentos para ser evaluado. En el primero de ellos, deberá dar respuesta a las preguntas </w:t>
            </w:r>
            <w:r w:rsidRPr="00BF4A9F">
              <w:rPr>
                <w:rFonts w:ascii="Arial" w:hAnsi="Arial" w:cs="Arial"/>
                <w:color w:val="0F243E" w:themeColor="text2" w:themeShade="80"/>
              </w:rPr>
              <w:lastRenderedPageBreak/>
              <w:t>introductorias que en cada sesión formule el docente con el fin de aclimatar las aclaraciones sobre los cada uno de los temas del programa. El rendimiento será evaluado por un sistema de medición cuantitativa de puntos positivos que serán registrados por cada estudiante durante el semestre y al final de cada corte de</w:t>
            </w:r>
            <w:r>
              <w:rPr>
                <w:rFonts w:ascii="Arial" w:hAnsi="Arial" w:cs="Arial"/>
                <w:color w:val="0F243E" w:themeColor="text2" w:themeShade="80"/>
              </w:rPr>
              <w:t xml:space="preserve"> notas por el docente.</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En el segundo, los estudiantes recibirán semanalmente los comentarios de sus compañeros y del docente a través del diálogo respetuoso y de la lectura de sus propuestas en el foro virtual y el blog de la asignatura.</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El tercer componente será la calificación que reciban los estudiantes por parte de tres jurados, en la Feria Estudiantil de Proyectos de Investigación, que se desarrollará durante las últimas dos semanas del semestre. Cada estudiante o grupo de estudiantes deberá participar con la proyección y explicación de un escrito, en el que se contengan los principales elementos de su propuesta: presentación del tema y problema de investigación, objetivos, justificación, técnicas de recolección y métodos de análisis de información. Los criterios de calificación serán: precisión y claridad del problema seleccionado, coherencia, pertinencia del problema, adecuación de las técnicas de recolección y de los métodos de análisis de información, además de los definidos por el Centro de Investigaciones Jurídicas y Socio-jurídicas de la Facultad de Derecho.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4A3921">
              <w:rPr>
                <w:rFonts w:ascii="Arial" w:hAnsi="Arial" w:cs="Arial"/>
                <w:b/>
                <w:color w:val="FFFFFF" w:themeColor="background1"/>
              </w:rPr>
              <w:t>RECURSOS :</w:t>
            </w:r>
          </w:p>
        </w:tc>
      </w:tr>
      <w:tr w:rsidR="004272A7" w:rsidTr="002C2BB8">
        <w:tc>
          <w:tcPr>
            <w:tcW w:w="9740" w:type="dxa"/>
          </w:tcPr>
          <w:p w:rsidR="004272A7" w:rsidRDefault="004272A7" w:rsidP="002C2BB8">
            <w:pPr>
              <w:rPr>
                <w:rFonts w:ascii="Arial" w:hAnsi="Arial" w:cs="Arial"/>
                <w:b/>
                <w:color w:val="0F243E" w:themeColor="text2" w:themeShade="80"/>
              </w:rPr>
            </w:pPr>
          </w:p>
          <w:p w:rsidR="004272A7" w:rsidRPr="007F40E6" w:rsidRDefault="004272A7" w:rsidP="002C2BB8">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4272A7" w:rsidRDefault="004272A7" w:rsidP="002C2BB8">
            <w:pPr>
              <w:rPr>
                <w:rFonts w:ascii="Arial" w:hAnsi="Arial" w:cs="Arial"/>
                <w:b/>
                <w:color w:val="0F243E" w:themeColor="text2" w:themeShade="80"/>
              </w:rPr>
            </w:pPr>
          </w:p>
          <w:p w:rsidR="004272A7" w:rsidRPr="0072106B" w:rsidRDefault="004272A7" w:rsidP="002C2BB8">
            <w:pPr>
              <w:rPr>
                <w:rFonts w:ascii="Arial" w:hAnsi="Arial" w:cs="Arial"/>
                <w:b/>
                <w:color w:val="0F243E" w:themeColor="text2" w:themeShade="80"/>
              </w:rPr>
            </w:pPr>
            <w:r w:rsidRPr="0072106B">
              <w:rPr>
                <w:rFonts w:ascii="Arial" w:hAnsi="Arial" w:cs="Arial"/>
                <w:b/>
                <w:color w:val="0F243E" w:themeColor="text2" w:themeShade="80"/>
              </w:rPr>
              <w:t>BIBLIOGRAFÍA BÁSICA Y COMPLEMENTARIA</w:t>
            </w:r>
          </w:p>
          <w:p w:rsidR="004272A7" w:rsidRPr="0072106B" w:rsidRDefault="004272A7" w:rsidP="002C2BB8">
            <w:pPr>
              <w:rPr>
                <w:rFonts w:ascii="Arial" w:hAnsi="Arial" w:cs="Arial"/>
                <w:b/>
                <w:color w:val="0F243E" w:themeColor="text2" w:themeShade="80"/>
              </w:rPr>
            </w:pPr>
          </w:p>
          <w:sdt>
            <w:sdtPr>
              <w:rPr>
                <w:rFonts w:ascii="Arial" w:hAnsi="Arial" w:cs="Arial"/>
              </w:rPr>
              <w:id w:val="111145805"/>
              <w:bibliography/>
            </w:sdtPr>
            <w:sdtEndPr/>
            <w:sdtContent>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rPr>
                  <w:fldChar w:fldCharType="begin"/>
                </w:r>
                <w:r w:rsidRPr="0072106B">
                  <w:rPr>
                    <w:rFonts w:ascii="Arial" w:hAnsi="Arial" w:cs="Arial"/>
                  </w:rPr>
                  <w:instrText>BIBLIOGRAPHY</w:instrText>
                </w:r>
                <w:r w:rsidRPr="0072106B">
                  <w:rPr>
                    <w:rFonts w:ascii="Arial" w:hAnsi="Arial" w:cs="Arial"/>
                  </w:rPr>
                  <w:fldChar w:fldCharType="separate"/>
                </w:r>
                <w:r w:rsidRPr="0072106B">
                  <w:rPr>
                    <w:rFonts w:ascii="Arial" w:hAnsi="Arial" w:cs="Arial"/>
                    <w:noProof/>
                    <w:lang w:val="es-ES_tradnl"/>
                  </w:rPr>
                  <w:t xml:space="preserve">Cassany, D. (2007). </w:t>
                </w:r>
                <w:r w:rsidRPr="0072106B">
                  <w:rPr>
                    <w:rFonts w:ascii="Arial" w:hAnsi="Arial" w:cs="Arial"/>
                    <w:i/>
                    <w:iCs/>
                    <w:noProof/>
                    <w:lang w:val="es-ES_tradnl"/>
                  </w:rPr>
                  <w:t>Afilar el lapicero.</w:t>
                </w:r>
                <w:r w:rsidRPr="0072106B">
                  <w:rPr>
                    <w:rFonts w:ascii="Arial" w:hAnsi="Arial" w:cs="Arial"/>
                    <w:noProof/>
                    <w:lang w:val="es-ES_tradnl"/>
                  </w:rPr>
                  <w:t xml:space="preserve"> Barcelona: Anagrama.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Cassany, D. (2008). </w:t>
                </w:r>
                <w:r w:rsidRPr="0072106B">
                  <w:rPr>
                    <w:rFonts w:ascii="Arial" w:hAnsi="Arial" w:cs="Arial"/>
                    <w:i/>
                    <w:iCs/>
                    <w:noProof/>
                    <w:lang w:val="es-ES_tradnl"/>
                  </w:rPr>
                  <w:t>La cocina de la escritura.</w:t>
                </w:r>
                <w:r w:rsidRPr="0072106B">
                  <w:rPr>
                    <w:rFonts w:ascii="Arial" w:hAnsi="Arial" w:cs="Arial"/>
                    <w:noProof/>
                    <w:lang w:val="es-ES_tradnl"/>
                  </w:rPr>
                  <w:t xml:space="preserve"> Barcelona: Anagrama.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lastRenderedPageBreak/>
                  <w:t xml:space="preserve">Cerda, H. (1998). </w:t>
                </w:r>
                <w:r w:rsidRPr="0072106B">
                  <w:rPr>
                    <w:rFonts w:ascii="Arial" w:hAnsi="Arial" w:cs="Arial"/>
                    <w:i/>
                    <w:iCs/>
                    <w:noProof/>
                    <w:lang w:val="es-ES_tradnl"/>
                  </w:rPr>
                  <w:t>Los elementos de la investigación. Cómo reconocerlos, diseñarlos y construirlos.</w:t>
                </w:r>
                <w:r w:rsidRPr="0072106B">
                  <w:rPr>
                    <w:rFonts w:ascii="Arial" w:hAnsi="Arial" w:cs="Arial"/>
                    <w:noProof/>
                    <w:lang w:val="es-ES_tradnl"/>
                  </w:rPr>
                  <w:t xml:space="preserve"> Bogotá: El Búho.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Dueñas, O. (2008). </w:t>
                </w:r>
                <w:r w:rsidRPr="0072106B">
                  <w:rPr>
                    <w:rFonts w:ascii="Arial" w:hAnsi="Arial" w:cs="Arial"/>
                    <w:i/>
                    <w:iCs/>
                    <w:noProof/>
                    <w:lang w:val="es-ES_tradnl"/>
                  </w:rPr>
                  <w:t>Lecciones de Hermenéutica Jurídica.</w:t>
                </w:r>
                <w:r w:rsidRPr="0072106B">
                  <w:rPr>
                    <w:rFonts w:ascii="Arial" w:hAnsi="Arial" w:cs="Arial"/>
                    <w:noProof/>
                    <w:lang w:val="es-ES_tradnl"/>
                  </w:rPr>
                  <w:t xml:space="preserve"> Bogotá: Universidad del Rosario.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Guadarrama, P. (2009). </w:t>
                </w:r>
                <w:r w:rsidRPr="0072106B">
                  <w:rPr>
                    <w:rFonts w:ascii="Arial" w:hAnsi="Arial" w:cs="Arial"/>
                    <w:i/>
                    <w:iCs/>
                    <w:noProof/>
                    <w:lang w:val="es-ES_tradnl"/>
                  </w:rPr>
                  <w:t>Dirección y asesoría de investigación científica.</w:t>
                </w:r>
                <w:r w:rsidRPr="0072106B">
                  <w:rPr>
                    <w:rFonts w:ascii="Arial" w:hAnsi="Arial" w:cs="Arial"/>
                    <w:noProof/>
                    <w:lang w:val="es-ES_tradnl"/>
                  </w:rPr>
                  <w:t xml:space="preserve"> Bogotá: Magisterio.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Kuhn, T. (2004). </w:t>
                </w:r>
                <w:r w:rsidRPr="0072106B">
                  <w:rPr>
                    <w:rFonts w:ascii="Arial" w:hAnsi="Arial" w:cs="Arial"/>
                    <w:i/>
                    <w:iCs/>
                    <w:noProof/>
                    <w:lang w:val="es-ES_tradnl"/>
                  </w:rPr>
                  <w:t>La estructura de las revoluciones científicas.</w:t>
                </w:r>
                <w:r w:rsidRPr="0072106B">
                  <w:rPr>
                    <w:rFonts w:ascii="Arial" w:hAnsi="Arial" w:cs="Arial"/>
                    <w:noProof/>
                    <w:lang w:val="es-ES_tradnl"/>
                  </w:rPr>
                  <w:t xml:space="preserve"> México D.F.: Fondo de Cultura Económica.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Ragin, C. (2007). </w:t>
                </w:r>
                <w:r w:rsidRPr="0072106B">
                  <w:rPr>
                    <w:rFonts w:ascii="Arial" w:hAnsi="Arial" w:cs="Arial"/>
                    <w:i/>
                    <w:iCs/>
                    <w:noProof/>
                    <w:lang w:val="es-ES_tradnl"/>
                  </w:rPr>
                  <w:t>La construcción de la investigación social. Introducción a los métodos y su diversidad.</w:t>
                </w:r>
                <w:r w:rsidRPr="0072106B">
                  <w:rPr>
                    <w:rFonts w:ascii="Arial" w:hAnsi="Arial" w:cs="Arial"/>
                    <w:noProof/>
                    <w:lang w:val="es-ES_tradnl"/>
                  </w:rPr>
                  <w:t xml:space="preserve"> Bogotá: Siglo del Hombre.</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Sabino, C. (1997). </w:t>
                </w:r>
                <w:r w:rsidRPr="0072106B">
                  <w:rPr>
                    <w:rFonts w:ascii="Arial" w:hAnsi="Arial" w:cs="Arial"/>
                    <w:i/>
                    <w:iCs/>
                    <w:noProof/>
                    <w:lang w:val="es-ES_tradnl"/>
                  </w:rPr>
                  <w:t>El proceso de investigación.</w:t>
                </w:r>
                <w:r w:rsidRPr="0072106B">
                  <w:rPr>
                    <w:rFonts w:ascii="Arial" w:hAnsi="Arial" w:cs="Arial"/>
                    <w:noProof/>
                    <w:lang w:val="es-ES_tradnl"/>
                  </w:rPr>
                  <w:t xml:space="preserve"> Bogotá: Panamericana.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Villoro, M. (1982). </w:t>
                </w:r>
                <w:r w:rsidRPr="0072106B">
                  <w:rPr>
                    <w:rFonts w:ascii="Arial" w:hAnsi="Arial" w:cs="Arial"/>
                    <w:i/>
                    <w:iCs/>
                    <w:noProof/>
                    <w:lang w:val="es-ES_tradnl"/>
                  </w:rPr>
                  <w:t>Introducción al estudio del derecho.</w:t>
                </w:r>
                <w:r w:rsidRPr="0072106B">
                  <w:rPr>
                    <w:rFonts w:ascii="Arial" w:hAnsi="Arial" w:cs="Arial"/>
                    <w:noProof/>
                    <w:lang w:val="es-ES_tradnl"/>
                  </w:rPr>
                  <w:t xml:space="preserve"> México D.F. : Porrúa.</w:t>
                </w:r>
              </w:p>
              <w:p w:rsidR="004272A7" w:rsidRPr="0072106B" w:rsidRDefault="004272A7" w:rsidP="002C2BB8">
                <w:pPr>
                  <w:rPr>
                    <w:rFonts w:ascii="Arial" w:hAnsi="Arial" w:cs="Arial"/>
                    <w:lang w:val="es-ES_tradnl"/>
                  </w:rPr>
                </w:pPr>
              </w:p>
              <w:p w:rsidR="004272A7" w:rsidRPr="0072106B" w:rsidRDefault="004272A7" w:rsidP="002C2BB8">
                <w:pPr>
                  <w:jc w:val="both"/>
                  <w:rPr>
                    <w:rFonts w:ascii="Arial" w:hAnsi="Arial" w:cs="Arial"/>
                  </w:rPr>
                </w:pPr>
                <w:r w:rsidRPr="0072106B">
                  <w:rPr>
                    <w:rFonts w:ascii="Arial" w:hAnsi="Arial" w:cs="Arial"/>
                    <w:b/>
                    <w:bCs/>
                  </w:rPr>
                  <w:fldChar w:fldCharType="end"/>
                </w:r>
                <w:proofErr w:type="spellStart"/>
                <w:r w:rsidRPr="005C7D0A">
                  <w:rPr>
                    <w:rFonts w:ascii="Arial" w:hAnsi="Arial" w:cs="Arial"/>
                    <w:bCs/>
                  </w:rPr>
                  <w:t>Vasilachis</w:t>
                </w:r>
                <w:proofErr w:type="spellEnd"/>
                <w:r w:rsidRPr="005C7D0A">
                  <w:rPr>
                    <w:rFonts w:ascii="Arial" w:hAnsi="Arial" w:cs="Arial"/>
                    <w:bCs/>
                  </w:rPr>
                  <w:t xml:space="preserve">, I. (2006). </w:t>
                </w:r>
                <w:r w:rsidRPr="005C7D0A">
                  <w:rPr>
                    <w:rFonts w:ascii="Arial" w:hAnsi="Arial" w:cs="Arial"/>
                    <w:i/>
                  </w:rPr>
                  <w:t>Es</w:t>
                </w:r>
                <w:r w:rsidRPr="0072106B">
                  <w:rPr>
                    <w:rFonts w:ascii="Arial" w:hAnsi="Arial" w:cs="Arial"/>
                    <w:i/>
                  </w:rPr>
                  <w:t xml:space="preserve">trategias de Investigación Cualitativa. </w:t>
                </w:r>
                <w:r w:rsidRPr="0072106B">
                  <w:rPr>
                    <w:rFonts w:ascii="Arial" w:hAnsi="Arial" w:cs="Arial"/>
                  </w:rPr>
                  <w:t xml:space="preserve">Barcelona: </w:t>
                </w:r>
                <w:proofErr w:type="spellStart"/>
                <w:r w:rsidRPr="0072106B">
                  <w:rPr>
                    <w:rFonts w:ascii="Arial" w:hAnsi="Arial" w:cs="Arial"/>
                  </w:rPr>
                  <w:t>Gedisa</w:t>
                </w:r>
                <w:proofErr w:type="spellEnd"/>
                <w:r w:rsidRPr="0072106B">
                  <w:rPr>
                    <w:rFonts w:ascii="Arial" w:hAnsi="Arial" w:cs="Arial"/>
                  </w:rPr>
                  <w:t>.</w:t>
                </w:r>
              </w:p>
              <w:p w:rsidR="004272A7" w:rsidRPr="0072106B" w:rsidRDefault="00BD2A83" w:rsidP="002C2BB8">
                <w:pPr>
                  <w:jc w:val="both"/>
                  <w:rPr>
                    <w:rFonts w:ascii="Arial" w:hAnsi="Arial" w:cs="Arial"/>
                  </w:rPr>
                </w:pPr>
              </w:p>
            </w:sdtContent>
          </w:sdt>
          <w:p w:rsidR="004272A7" w:rsidRDefault="004272A7" w:rsidP="002C2BB8">
            <w:pPr>
              <w:rPr>
                <w:rFonts w:ascii="Arial" w:hAnsi="Arial" w:cs="Arial"/>
                <w:b/>
                <w:color w:val="0F243E" w:themeColor="text2" w:themeShade="80"/>
              </w:rPr>
            </w:pPr>
            <w:r w:rsidRPr="0072106B">
              <w:rPr>
                <w:rFonts w:ascii="Arial" w:hAnsi="Arial" w:cs="Arial"/>
              </w:rPr>
              <w:t xml:space="preserve">Hernández, R. Fernández, C. Baptista, M. (2010). </w:t>
            </w:r>
            <w:r w:rsidRPr="0072106B">
              <w:rPr>
                <w:rFonts w:ascii="Arial" w:hAnsi="Arial" w:cs="Arial"/>
                <w:i/>
              </w:rPr>
              <w:t>Metodología de la Investigación</w:t>
            </w:r>
            <w:r w:rsidRPr="0072106B">
              <w:rPr>
                <w:rFonts w:ascii="Arial" w:hAnsi="Arial" w:cs="Arial"/>
              </w:rPr>
              <w:t>. México DF: McGraw Hill.</w:t>
            </w:r>
          </w:p>
          <w:p w:rsidR="004272A7" w:rsidRPr="007F40E6"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4272A7" w:rsidRDefault="004272A7" w:rsidP="002C2BB8">
            <w:pPr>
              <w:rPr>
                <w:rFonts w:ascii="Arial" w:hAnsi="Arial" w:cs="Arial"/>
                <w:b/>
                <w:color w:val="0F243E" w:themeColor="text2" w:themeShade="80"/>
              </w:rPr>
            </w:pPr>
          </w:p>
          <w:p w:rsidR="004272A7" w:rsidRDefault="004272A7" w:rsidP="002C2BB8">
            <w:pPr>
              <w:spacing w:line="360" w:lineRule="auto"/>
              <w:rPr>
                <w:rFonts w:ascii="Arial" w:hAnsi="Arial" w:cs="Arial"/>
                <w:color w:val="0F243E" w:themeColor="text2" w:themeShade="80"/>
              </w:rPr>
            </w:pPr>
            <w:r w:rsidRPr="00E527B4">
              <w:rPr>
                <w:rFonts w:ascii="Arial" w:hAnsi="Arial" w:cs="Arial"/>
                <w:color w:val="0F243E" w:themeColor="text2" w:themeShade="80"/>
              </w:rPr>
              <w:t>Se hará uso de las bases de datos dispuestas por el Departamento de Biblioteca para</w:t>
            </w:r>
            <w:r>
              <w:rPr>
                <w:rFonts w:ascii="Arial" w:hAnsi="Arial" w:cs="Arial"/>
                <w:color w:val="0F243E" w:themeColor="text2" w:themeShade="80"/>
              </w:rPr>
              <w:t xml:space="preserve"> que los estudiantes consulten documentos especializados relacionados con los temas de investigación seleccionados por ellos.</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4272A7" w:rsidRDefault="004272A7" w:rsidP="002C2BB8">
            <w:pPr>
              <w:rPr>
                <w:rFonts w:ascii="Arial" w:hAnsi="Arial" w:cs="Arial"/>
                <w:b/>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E527B4">
              <w:rPr>
                <w:rFonts w:ascii="Arial" w:hAnsi="Arial" w:cs="Arial"/>
                <w:color w:val="0F243E" w:themeColor="text2" w:themeShade="80"/>
              </w:rPr>
              <w:t>Se dispondrá de la plataforma virtual dispuesta por la Universidad para generar espacios de discusión y evaluación constantes, a través de foros virtuales.</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Pr="00C6539E" w:rsidRDefault="004272A7" w:rsidP="002C2BB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4272A7" w:rsidRDefault="004272A7" w:rsidP="002C2BB8">
            <w:pPr>
              <w:rPr>
                <w:rFonts w:ascii="Arial" w:hAnsi="Arial" w:cs="Arial"/>
                <w:color w:val="0F243E" w:themeColor="text2" w:themeShade="80"/>
              </w:rPr>
            </w:pPr>
          </w:p>
        </w:tc>
      </w:tr>
    </w:tbl>
    <w:p w:rsidR="004272A7" w:rsidRPr="0086312B" w:rsidRDefault="004272A7" w:rsidP="004272A7">
      <w:pPr>
        <w:rPr>
          <w:rFonts w:ascii="Arial" w:hAnsi="Arial" w:cs="Arial"/>
          <w:color w:val="0F243E" w:themeColor="text2" w:themeShade="80"/>
        </w:rPr>
      </w:pPr>
    </w:p>
    <w:p w:rsidR="004272A7" w:rsidRPr="009D3B04" w:rsidRDefault="004272A7" w:rsidP="004272A7"/>
    <w:p w:rsidR="004272A7" w:rsidRDefault="004272A7" w:rsidP="004272A7"/>
    <w:p w:rsidR="0029391D" w:rsidRDefault="0029391D"/>
    <w:sectPr w:rsidR="0029391D" w:rsidSect="008667D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A83" w:rsidRDefault="00BD2A83">
      <w:r>
        <w:separator/>
      </w:r>
    </w:p>
  </w:endnote>
  <w:endnote w:type="continuationSeparator" w:id="0">
    <w:p w:rsidR="00BD2A83" w:rsidRDefault="00BD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D0" w:rsidRDefault="00435C57">
    <w:pPr>
      <w:pStyle w:val="Piedepgina"/>
    </w:pPr>
    <w:r>
      <w:rPr>
        <w:noProof/>
        <w:lang w:eastAsia="es-CO"/>
      </w:rPr>
      <mc:AlternateContent>
        <mc:Choice Requires="wps">
          <w:drawing>
            <wp:anchor distT="0" distB="0" distL="114300" distR="114300" simplePos="0" relativeHeight="251659264" behindDoc="0" locked="0" layoutInCell="1" allowOverlap="1" wp14:anchorId="3C08B5B9" wp14:editId="35305BEA">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8667D0" w:rsidRPr="00F60130" w:rsidRDefault="00435C57"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8667D0" w:rsidRPr="00F60130" w:rsidRDefault="00435C57" w:rsidP="008667D0">
                          <w:pPr>
                            <w:jc w:val="center"/>
                            <w:rPr>
                              <w:rFonts w:ascii="Myriad Pro" w:hAnsi="Myriad Pro"/>
                              <w:b/>
                              <w:sz w:val="16"/>
                              <w:szCs w:val="16"/>
                            </w:rPr>
                          </w:pPr>
                          <w:r w:rsidRPr="00F60130">
                            <w:rPr>
                              <w:rFonts w:ascii="Myriad Pro" w:hAnsi="Myriad Pro"/>
                              <w:b/>
                              <w:sz w:val="16"/>
                              <w:szCs w:val="16"/>
                            </w:rPr>
                            <w:t>PBX: (8) 744 04 04 / Línea Nacional: 018000932340</w:t>
                          </w:r>
                        </w:p>
                        <w:p w:rsidR="008667D0" w:rsidRPr="00F60130" w:rsidRDefault="00BD2A83" w:rsidP="008667D0">
                          <w:pPr>
                            <w:jc w:val="center"/>
                            <w:rPr>
                              <w:rFonts w:ascii="Myriad Pro" w:hAnsi="Myriad Pro"/>
                              <w:b/>
                              <w:sz w:val="16"/>
                              <w:szCs w:val="16"/>
                            </w:rPr>
                          </w:pPr>
                        </w:p>
                        <w:p w:rsidR="008667D0" w:rsidRDefault="00BD2A83" w:rsidP="008667D0">
                          <w:pPr>
                            <w:jc w:val="center"/>
                            <w:rPr>
                              <w:rFonts w:ascii="Myriad Pro" w:hAnsi="Myriad Pro"/>
                              <w:b/>
                              <w:sz w:val="16"/>
                              <w:szCs w:val="16"/>
                            </w:rPr>
                          </w:pPr>
                          <w:hyperlink r:id="rId1" w:history="1">
                            <w:r w:rsidR="00435C57" w:rsidRPr="004B6B71">
                              <w:rPr>
                                <w:rStyle w:val="Hipervnculo"/>
                                <w:rFonts w:ascii="Myriad Pro" w:hAnsi="Myriad Pro"/>
                                <w:b/>
                                <w:sz w:val="16"/>
                                <w:szCs w:val="16"/>
                              </w:rPr>
                              <w:t>www.ustatunja.edu.co</w:t>
                            </w:r>
                          </w:hyperlink>
                        </w:p>
                        <w:p w:rsidR="008667D0" w:rsidRPr="00F60130" w:rsidRDefault="00435C57" w:rsidP="008667D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3C08B5B9"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8667D0" w:rsidRPr="00F60130" w:rsidRDefault="00435C5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8667D0" w:rsidRPr="00F60130" w:rsidRDefault="00435C57" w:rsidP="008667D0">
                    <w:pPr>
                      <w:jc w:val="center"/>
                      <w:rPr>
                        <w:rFonts w:ascii="Myriad Pro" w:hAnsi="Myriad Pro"/>
                        <w:b/>
                        <w:sz w:val="16"/>
                        <w:szCs w:val="16"/>
                      </w:rPr>
                    </w:pPr>
                    <w:r w:rsidRPr="00F60130">
                      <w:rPr>
                        <w:rFonts w:ascii="Myriad Pro" w:hAnsi="Myriad Pro"/>
                        <w:b/>
                        <w:sz w:val="16"/>
                        <w:szCs w:val="16"/>
                      </w:rPr>
                      <w:t>PBX: (8) 744 04 04 / Línea Nacional: 018000932340</w:t>
                    </w:r>
                  </w:p>
                  <w:p w:rsidR="008667D0" w:rsidRPr="00F60130" w:rsidRDefault="000835B9" w:rsidP="008667D0">
                    <w:pPr>
                      <w:jc w:val="center"/>
                      <w:rPr>
                        <w:rFonts w:ascii="Myriad Pro" w:hAnsi="Myriad Pro"/>
                        <w:b/>
                        <w:sz w:val="16"/>
                        <w:szCs w:val="16"/>
                      </w:rPr>
                    </w:pPr>
                  </w:p>
                  <w:p w:rsidR="008667D0" w:rsidRDefault="000835B9" w:rsidP="008667D0">
                    <w:pPr>
                      <w:jc w:val="center"/>
                      <w:rPr>
                        <w:rFonts w:ascii="Myriad Pro" w:hAnsi="Myriad Pro"/>
                        <w:b/>
                        <w:sz w:val="16"/>
                        <w:szCs w:val="16"/>
                      </w:rPr>
                    </w:pPr>
                    <w:hyperlink r:id="rId2" w:history="1">
                      <w:r w:rsidR="00435C57" w:rsidRPr="004B6B71">
                        <w:rPr>
                          <w:rStyle w:val="Hipervnculo"/>
                          <w:rFonts w:ascii="Myriad Pro" w:hAnsi="Myriad Pro"/>
                          <w:b/>
                          <w:sz w:val="16"/>
                          <w:szCs w:val="16"/>
                        </w:rPr>
                        <w:t>www.ustatunja.edu.co</w:t>
                      </w:r>
                    </w:hyperlink>
                  </w:p>
                  <w:p w:rsidR="008667D0" w:rsidRPr="00F60130" w:rsidRDefault="00435C57" w:rsidP="008667D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A83" w:rsidRDefault="00BD2A83">
      <w:r>
        <w:separator/>
      </w:r>
    </w:p>
  </w:footnote>
  <w:footnote w:type="continuationSeparator" w:id="0">
    <w:p w:rsidR="00BD2A83" w:rsidRDefault="00BD2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D0" w:rsidRDefault="00BD2A8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49" type="#_x0000_t75" style="position:absolute;margin-left:0;margin-top:0;width:591.25pt;height:788.35pt;z-index:-251655168;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D0" w:rsidRDefault="00435C57">
    <w:pPr>
      <w:pStyle w:val="Encabezado"/>
    </w:pPr>
    <w:r>
      <w:rPr>
        <w:noProof/>
        <w:lang w:eastAsia="es-CO"/>
      </w:rPr>
      <mc:AlternateContent>
        <mc:Choice Requires="wpg">
          <w:drawing>
            <wp:anchor distT="0" distB="0" distL="114300" distR="114300" simplePos="0" relativeHeight="251660288" behindDoc="0" locked="0" layoutInCell="1" allowOverlap="1" wp14:anchorId="7E7506A5" wp14:editId="6A8CF10F">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CD6BED" w:rsidRDefault="00435C57" w:rsidP="008667D0">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827C77" w:rsidRDefault="00435C57" w:rsidP="008667D0">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E059BF" w:rsidRDefault="00435C57" w:rsidP="008667D0">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671582" w:rsidRDefault="00435C57" w:rsidP="008667D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532914" w:rsidRDefault="00435C57" w:rsidP="008667D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631E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631E7">
                              <w:rPr>
                                <w:rFonts w:ascii="Tahoma" w:hAnsi="Tahoma" w:cs="Tahoma"/>
                                <w:bCs/>
                                <w:noProof/>
                                <w:sz w:val="14"/>
                                <w:szCs w:val="12"/>
                              </w:rPr>
                              <w:t>9</w:t>
                            </w:r>
                            <w:r w:rsidRPr="00532914">
                              <w:rPr>
                                <w:rFonts w:ascii="Tahoma" w:hAnsi="Tahoma" w:cs="Tahoma"/>
                                <w:bCs/>
                                <w:sz w:val="14"/>
                                <w:szCs w:val="12"/>
                              </w:rPr>
                              <w:fldChar w:fldCharType="end"/>
                            </w:r>
                          </w:p>
                          <w:p w:rsidR="008667D0" w:rsidRPr="00671582" w:rsidRDefault="00BD2A83" w:rsidP="008667D0">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0288"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8667D0" w:rsidRPr="00CD6BED" w:rsidRDefault="00435C57" w:rsidP="008667D0">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8667D0" w:rsidRPr="00827C77" w:rsidRDefault="00435C57" w:rsidP="008667D0">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8667D0" w:rsidRPr="00E059BF" w:rsidRDefault="00435C57" w:rsidP="008667D0">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8667D0" w:rsidRPr="00671582" w:rsidRDefault="00435C57" w:rsidP="008667D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8667D0" w:rsidRPr="00532914" w:rsidRDefault="00435C57" w:rsidP="008667D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631E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631E7">
                        <w:rPr>
                          <w:rFonts w:ascii="Tahoma" w:hAnsi="Tahoma" w:cs="Tahoma"/>
                          <w:bCs/>
                          <w:noProof/>
                          <w:sz w:val="14"/>
                          <w:szCs w:val="12"/>
                        </w:rPr>
                        <w:t>9</w:t>
                      </w:r>
                      <w:r w:rsidRPr="00532914">
                        <w:rPr>
                          <w:rFonts w:ascii="Tahoma" w:hAnsi="Tahoma" w:cs="Tahoma"/>
                          <w:bCs/>
                          <w:sz w:val="14"/>
                          <w:szCs w:val="12"/>
                        </w:rPr>
                        <w:fldChar w:fldCharType="end"/>
                      </w:r>
                    </w:p>
                    <w:p w:rsidR="008667D0" w:rsidRPr="00671582" w:rsidRDefault="00BD2A83" w:rsidP="008667D0">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D0" w:rsidRDefault="00BD2A8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50" type="#_x0000_t75" style="position:absolute;margin-left:0;margin-top:0;width:591.25pt;height:788.35pt;z-index:-251654144;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599"/>
    <w:multiLevelType w:val="hybridMultilevel"/>
    <w:tmpl w:val="25B60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6A30800"/>
    <w:multiLevelType w:val="multilevel"/>
    <w:tmpl w:val="8EC8FF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CE56531"/>
    <w:multiLevelType w:val="hybridMultilevel"/>
    <w:tmpl w:val="54442F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13424D9"/>
    <w:multiLevelType w:val="hybridMultilevel"/>
    <w:tmpl w:val="BC3E36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7F7A421C"/>
    <w:multiLevelType w:val="hybridMultilevel"/>
    <w:tmpl w:val="ED2E8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2A7"/>
    <w:rsid w:val="000835B9"/>
    <w:rsid w:val="00105F14"/>
    <w:rsid w:val="0029391D"/>
    <w:rsid w:val="004272A7"/>
    <w:rsid w:val="00435C57"/>
    <w:rsid w:val="00700BC3"/>
    <w:rsid w:val="007E31CC"/>
    <w:rsid w:val="00A403D3"/>
    <w:rsid w:val="00BD2A83"/>
    <w:rsid w:val="00C631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2A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4272A7"/>
  </w:style>
  <w:style w:type="paragraph" w:styleId="Piedepgina">
    <w:name w:val="footer"/>
    <w:basedOn w:val="Normal"/>
    <w:link w:val="Piedepgina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4272A7"/>
  </w:style>
  <w:style w:type="character" w:styleId="Hipervnculo">
    <w:name w:val="Hyperlink"/>
    <w:basedOn w:val="Fuentedeprrafopredeter"/>
    <w:uiPriority w:val="99"/>
    <w:unhideWhenUsed/>
    <w:rsid w:val="004272A7"/>
    <w:rPr>
      <w:color w:val="0000FF" w:themeColor="hyperlink"/>
      <w:u w:val="single"/>
    </w:rPr>
  </w:style>
  <w:style w:type="paragraph" w:styleId="Prrafodelista">
    <w:name w:val="List Paragraph"/>
    <w:basedOn w:val="Normal"/>
    <w:uiPriority w:val="34"/>
    <w:qFormat/>
    <w:rsid w:val="004272A7"/>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4272A7"/>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ibliografa">
    <w:name w:val="Bibliography"/>
    <w:basedOn w:val="Normal"/>
    <w:next w:val="Normal"/>
    <w:uiPriority w:val="37"/>
    <w:semiHidden/>
    <w:unhideWhenUsed/>
    <w:rsid w:val="004272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2A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4272A7"/>
  </w:style>
  <w:style w:type="paragraph" w:styleId="Piedepgina">
    <w:name w:val="footer"/>
    <w:basedOn w:val="Normal"/>
    <w:link w:val="Piedepgina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4272A7"/>
  </w:style>
  <w:style w:type="character" w:styleId="Hipervnculo">
    <w:name w:val="Hyperlink"/>
    <w:basedOn w:val="Fuentedeprrafopredeter"/>
    <w:uiPriority w:val="99"/>
    <w:unhideWhenUsed/>
    <w:rsid w:val="004272A7"/>
    <w:rPr>
      <w:color w:val="0000FF" w:themeColor="hyperlink"/>
      <w:u w:val="single"/>
    </w:rPr>
  </w:style>
  <w:style w:type="paragraph" w:styleId="Prrafodelista">
    <w:name w:val="List Paragraph"/>
    <w:basedOn w:val="Normal"/>
    <w:uiPriority w:val="34"/>
    <w:qFormat/>
    <w:rsid w:val="004272A7"/>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4272A7"/>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ibliografa">
    <w:name w:val="Bibliography"/>
    <w:basedOn w:val="Normal"/>
    <w:next w:val="Normal"/>
    <w:uiPriority w:val="37"/>
    <w:semiHidden/>
    <w:unhideWhenUsed/>
    <w:rsid w:val="00427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7B2-6342-455F-B085-5C055029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1966</Words>
  <Characters>10816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mariacastro</cp:lastModifiedBy>
  <cp:revision>3</cp:revision>
  <dcterms:created xsi:type="dcterms:W3CDTF">2015-08-13T16:43:00Z</dcterms:created>
  <dcterms:modified xsi:type="dcterms:W3CDTF">2015-08-14T16:48:00Z</dcterms:modified>
</cp:coreProperties>
</file>